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LAWN CARE SERVICE AGREEMENT</w:t>
      </w:r>
    </w:p>
    <w:p>
      <w:pPr>
        <w:jc w:val="center"/>
      </w:pPr>
      <w:r>
        <w:rPr>
          <w:color w:val="666666"/>
          <w:sz w:val="18"/>
        </w:rPr>
        <w:t>Agreement no. [LC-101]   |   Date [MM/DD/YYYY]</w:t>
      </w:r>
    </w:p>
    <w:p>
      <w:pPr>
        <w:jc w:val="center"/>
      </w:pPr>
      <w:r>
        <w:rPr>
          <w:i/>
          <w:color w:val="666666"/>
          <w:sz w:val="16"/>
        </w:rPr>
        <w:t>This template is a starting point, not legal advice. Have a lawyer check it for your province or state before you use it, then delete this line.</w:t>
      </w:r>
    </w:p>
    <w:p>
      <w:pPr>
        <w:spacing w:before="160" w:after="40"/>
      </w:pPr>
      <w:r>
        <w:rPr>
          <w:b/>
          <w:color w:val="666666"/>
          <w:sz w:val="16"/>
        </w:rPr>
        <w:t>1. PARTIES AND PROPERTY</w:t>
      </w:r>
    </w:p>
    <w:p>
      <w:pPr>
        <w:spacing w:after="60"/>
      </w:pPr>
      <w:r>
        <w:rPr>
          <w:b/>
          <w:sz w:val="19"/>
        </w:rPr>
        <w:t xml:space="preserve">Provider: </w:t>
      </w:r>
      <w:r>
        <w:rPr>
          <w:sz w:val="19"/>
        </w:rPr>
        <w:t>[Your business name], [address], [phone], [email] (the Provider), and</w:t>
      </w:r>
    </w:p>
    <w:p>
      <w:pPr>
        <w:spacing w:after="60"/>
      </w:pPr>
      <w:r>
        <w:rPr>
          <w:b/>
          <w:sz w:val="19"/>
        </w:rPr>
        <w:t xml:space="preserve">Customer: </w:t>
      </w:r>
      <w:r>
        <w:rPr>
          <w:sz w:val="19"/>
        </w:rPr>
        <w:t>[Customer name], [phone], [email] (the Customer).</w:t>
      </w:r>
    </w:p>
    <w:p>
      <w:pPr>
        <w:spacing w:after="60"/>
      </w:pPr>
      <w:r>
        <w:rPr>
          <w:b/>
          <w:sz w:val="19"/>
        </w:rPr>
        <w:t xml:space="preserve">Property: </w:t>
      </w:r>
      <w:r>
        <w:rPr>
          <w:sz w:val="19"/>
        </w:rPr>
        <w:t>[Service address]</w:t>
      </w:r>
    </w:p>
    <w:p>
      <w:pPr>
        <w:spacing w:before="160" w:after="40"/>
      </w:pPr>
      <w:r>
        <w:rPr>
          <w:b/>
          <w:color w:val="666666"/>
          <w:sz w:val="16"/>
        </w:rPr>
        <w:t>2. SEASON</w:t>
      </w:r>
    </w:p>
    <w:p>
      <w:pPr>
        <w:spacing w:after="60"/>
      </w:pPr>
      <w:r>
        <w:rPr>
          <w:sz w:val="19"/>
        </w:rPr>
        <w:t>This agreement runs from [start date] to [end date] (the Season).</w:t>
      </w:r>
    </w:p>
    <w:p>
      <w:pPr>
        <w:spacing w:before="160" w:after="40"/>
      </w:pPr>
      <w:r>
        <w:rPr>
          <w:b/>
          <w:color w:val="666666"/>
          <w:sz w:val="16"/>
        </w:rPr>
        <w:t>3. SERVICES</w:t>
      </w:r>
    </w:p>
    <w:tbl>
      <w:tblPr>
        <w:tblLayout w:type="fixed"/>
        <w:tblLook w:firstColumn="1" w:firstRow="1" w:lastColumn="0" w:lastRow="0" w:noHBand="0" w:noVBand="1" w:val="04A0"/>
        <w:jc w:val="center"/>
        <w:tblBorders>
          <w:top w:val="single" w:sz="4" w:color="BBBBBB"/>
          <w:left w:val="nil"/>
          <w:bottom w:val="single" w:sz="4" w:color="BBBBBB"/>
          <w:right w:val="nil"/>
          <w:insideH w:val="single" w:sz="4" w:color="BBBBBB"/>
          <w:insideV w:val="nil"/>
        </w:tblBorders>
        <w:tblLayout w:type="fixed"/>
        <w:tblW w:w="9694" w:type="dxa"/>
      </w:tblPr>
      <w:tblGrid>
        <w:gridCol w:w="3741"/>
        <w:gridCol w:w="2040"/>
        <w:gridCol w:w="1020"/>
        <w:gridCol w:w="1474"/>
        <w:gridCol w:w="1417"/>
      </w:tblGrid>
      <w:tr>
        <w:tc>
          <w:tcPr>
            <w:tcW w:type="dxa" w:w="3742"/>
            <w:shd w:val="clear" w:color="auto" w:fill="111111"/>
          </w:tcPr>
          <w:p>
            <w:pPr>
              <w:spacing w:after="20"/>
            </w:pPr>
            <w:r>
              <w:rPr>
                <w:b/>
                <w:color w:val="FFFFFF"/>
                <w:sz w:val="16"/>
              </w:rPr>
              <w:t>SERVICE</w:t>
            </w:r>
          </w:p>
        </w:tc>
        <w:tc>
          <w:tcPr>
            <w:tcW w:type="dxa" w:w="2041"/>
            <w:shd w:val="clear" w:color="auto" w:fill="111111"/>
          </w:tcPr>
          <w:p>
            <w:pPr>
              <w:spacing w:after="20"/>
            </w:pPr>
            <w:r>
              <w:rPr>
                <w:b/>
                <w:color w:val="FFFFFF"/>
                <w:sz w:val="16"/>
              </w:rPr>
              <w:t>HOW OFTEN</w:t>
            </w:r>
          </w:p>
        </w:tc>
        <w:tc>
          <w:tcPr>
            <w:tcW w:type="dxa" w:w="1020"/>
            <w:shd w:val="clear" w:color="auto" w:fill="111111"/>
          </w:tcPr>
          <w:p>
            <w:pPr>
              <w:spacing w:after="20"/>
              <w:jc w:val="right"/>
            </w:pPr>
            <w:r>
              <w:rPr>
                <w:b/>
                <w:color w:val="FFFFFF"/>
                <w:sz w:val="16"/>
              </w:rPr>
              <w:t>VISITS</w:t>
            </w:r>
          </w:p>
        </w:tc>
        <w:tc>
          <w:tcPr>
            <w:tcW w:type="dxa" w:w="1474"/>
            <w:shd w:val="clear" w:color="auto" w:fill="111111"/>
          </w:tcPr>
          <w:p>
            <w:pPr>
              <w:spacing w:after="20"/>
              <w:jc w:val="right"/>
            </w:pPr>
            <w:r>
              <w:rPr>
                <w:b/>
                <w:color w:val="FFFFFF"/>
                <w:sz w:val="16"/>
              </w:rPr>
              <w:t>PER VISIT</w:t>
            </w:r>
          </w:p>
        </w:tc>
        <w:tc>
          <w:tcPr>
            <w:tcW w:type="dxa" w:w="1417"/>
            <w:shd w:val="clear" w:color="auto" w:fill="111111"/>
          </w:tcPr>
          <w:p>
            <w:pPr>
              <w:spacing w:after="20"/>
              <w:jc w:val="right"/>
            </w:pPr>
            <w:r>
              <w:rPr>
                <w:b/>
                <w:color w:val="FFFFFF"/>
                <w:sz w:val="16"/>
              </w:rPr>
              <w:t>SEASON</w:t>
            </w:r>
          </w:p>
        </w:tc>
      </w:tr>
      <w:tr>
        <w:tc>
          <w:tcPr>
            <w:tcW w:type="dxa" w:w="3742"/>
          </w:tcPr>
          <w:p>
            <w:pPr>
              <w:spacing w:after="20"/>
            </w:pPr>
            <w:r>
              <w:rPr>
                <w:b w:val="0"/>
                <w:color w:val="111111"/>
                <w:sz w:val="20"/>
              </w:rPr>
              <w:t>Mowing, edging, trimming and blowing</w:t>
            </w:r>
          </w:p>
        </w:tc>
        <w:tc>
          <w:tcPr>
            <w:tcW w:type="dxa" w:w="2041"/>
          </w:tcPr>
          <w:p>
            <w:pPr>
              <w:spacing w:after="20"/>
            </w:pPr>
            <w:r>
              <w:rPr>
                <w:b w:val="0"/>
                <w:color w:val="111111"/>
                <w:sz w:val="20"/>
              </w:rPr>
              <w:t>Weekly</w:t>
            </w:r>
          </w:p>
        </w:tc>
        <w:tc>
          <w:tcPr>
            <w:tcW w:type="dxa" w:w="1020"/>
          </w:tcPr>
          <w:p>
            <w:pPr>
              <w:spacing w:after="20"/>
              <w:jc w:val="right"/>
            </w:pPr>
            <w:r>
              <w:rPr>
                <w:b w:val="0"/>
                <w:color w:val="111111"/>
                <w:sz w:val="20"/>
              </w:rPr>
              <w:t>28</w:t>
            </w:r>
          </w:p>
        </w:tc>
        <w:tc>
          <w:tcPr>
            <w:tcW w:type="dxa" w:w="1474"/>
          </w:tcPr>
          <w:p>
            <w:pPr>
              <w:spacing w:after="20"/>
              <w:jc w:val="right"/>
            </w:pPr>
            <w:r>
              <w:rPr>
                <w:b w:val="0"/>
                <w:color w:val="111111"/>
                <w:sz w:val="20"/>
              </w:rPr>
              <w:t>45.00</w:t>
            </w:r>
          </w:p>
        </w:tc>
        <w:tc>
          <w:tcPr>
            <w:tcW w:type="dxa" w:w="1417"/>
          </w:tcPr>
          <w:p>
            <w:pPr>
              <w:spacing w:after="20"/>
              <w:jc w:val="right"/>
            </w:pPr>
            <w:r>
              <w:rPr>
                <w:b w:val="0"/>
                <w:color w:val="111111"/>
                <w:sz w:val="20"/>
              </w:rPr>
              <w:t>1,260.00</w:t>
            </w:r>
          </w:p>
        </w:tc>
      </w:tr>
      <w:tr>
        <w:tc>
          <w:tcPr>
            <w:tcW w:type="dxa" w:w="3742"/>
          </w:tcPr>
          <w:p>
            <w:pPr>
              <w:spacing w:after="20"/>
            </w:pPr>
            <w:r>
              <w:rPr>
                <w:b w:val="0"/>
                <w:color w:val="111111"/>
                <w:sz w:val="20"/>
              </w:rPr>
              <w:t>Spring cleanup</w:t>
            </w:r>
          </w:p>
        </w:tc>
        <w:tc>
          <w:tcPr>
            <w:tcW w:type="dxa" w:w="2041"/>
          </w:tcPr>
          <w:p>
            <w:pPr>
              <w:spacing w:after="20"/>
            </w:pPr>
            <w:r>
              <w:rPr>
                <w:b w:val="0"/>
                <w:color w:val="111111"/>
                <w:sz w:val="20"/>
              </w:rPr>
              <w:t>Once, [April]</w:t>
            </w:r>
          </w:p>
        </w:tc>
        <w:tc>
          <w:tcPr>
            <w:tcW w:type="dxa" w:w="1020"/>
          </w:tcPr>
          <w:p>
            <w:pPr>
              <w:spacing w:after="20"/>
              <w:jc w:val="right"/>
            </w:pPr>
            <w:r>
              <w:rPr>
                <w:b w:val="0"/>
                <w:color w:val="111111"/>
                <w:sz w:val="20"/>
              </w:rPr>
              <w:t>1</w:t>
            </w:r>
          </w:p>
        </w:tc>
        <w:tc>
          <w:tcPr>
            <w:tcW w:type="dxa" w:w="1474"/>
          </w:tcPr>
          <w:p>
            <w:pPr>
              <w:spacing w:after="20"/>
              <w:jc w:val="right"/>
            </w:pPr>
            <w:r>
              <w:rPr>
                <w:b w:val="0"/>
                <w:color w:val="111111"/>
                <w:sz w:val="20"/>
              </w:rPr>
              <w:t>250.00</w:t>
            </w:r>
          </w:p>
        </w:tc>
        <w:tc>
          <w:tcPr>
            <w:tcW w:type="dxa" w:w="1417"/>
          </w:tcPr>
          <w:p>
            <w:pPr>
              <w:spacing w:after="20"/>
              <w:jc w:val="right"/>
            </w:pPr>
            <w:r>
              <w:rPr>
                <w:b w:val="0"/>
                <w:color w:val="111111"/>
                <w:sz w:val="20"/>
              </w:rPr>
              <w:t>250.00</w:t>
            </w:r>
          </w:p>
        </w:tc>
      </w:tr>
      <w:tr>
        <w:tc>
          <w:tcPr>
            <w:tcW w:type="dxa" w:w="3742"/>
          </w:tcPr>
          <w:p>
            <w:pPr>
              <w:spacing w:after="20"/>
            </w:pPr>
            <w:r>
              <w:rPr>
                <w:b w:val="0"/>
                <w:color w:val="111111"/>
                <w:sz w:val="20"/>
              </w:rPr>
              <w:t>Fertilizer and weed control</w:t>
            </w:r>
          </w:p>
        </w:tc>
        <w:tc>
          <w:tcPr>
            <w:tcW w:type="dxa" w:w="2041"/>
          </w:tcPr>
          <w:p>
            <w:pPr>
              <w:spacing w:after="20"/>
            </w:pPr>
            <w:r>
              <w:rPr>
                <w:b w:val="0"/>
                <w:color w:val="111111"/>
                <w:sz w:val="20"/>
              </w:rPr>
              <w:t>[4] times a season</w:t>
            </w:r>
          </w:p>
        </w:tc>
        <w:tc>
          <w:tcPr>
            <w:tcW w:type="dxa" w:w="1020"/>
          </w:tcPr>
          <w:p>
            <w:pPr>
              <w:spacing w:after="20"/>
              <w:jc w:val="right"/>
            </w:pPr>
            <w:r>
              <w:rPr>
                <w:b w:val="0"/>
                <w:color w:val="111111"/>
                <w:sz w:val="20"/>
              </w:rPr>
              <w:t>4</w:t>
            </w:r>
          </w:p>
        </w:tc>
        <w:tc>
          <w:tcPr>
            <w:tcW w:type="dxa" w:w="1474"/>
          </w:tcPr>
          <w:p>
            <w:pPr>
              <w:spacing w:after="20"/>
              <w:jc w:val="right"/>
            </w:pPr>
            <w:r>
              <w:rPr>
                <w:b w:val="0"/>
                <w:color w:val="111111"/>
                <w:sz w:val="20"/>
              </w:rPr>
              <w:t>65.00</w:t>
            </w:r>
          </w:p>
        </w:tc>
        <w:tc>
          <w:tcPr>
            <w:tcW w:type="dxa" w:w="1417"/>
          </w:tcPr>
          <w:p>
            <w:pPr>
              <w:spacing w:after="20"/>
              <w:jc w:val="right"/>
            </w:pPr>
            <w:r>
              <w:rPr>
                <w:b w:val="0"/>
                <w:color w:val="111111"/>
                <w:sz w:val="20"/>
              </w:rPr>
              <w:t>260.00</w:t>
            </w:r>
          </w:p>
        </w:tc>
      </w:tr>
      <w:tr>
        <w:tc>
          <w:tcPr>
            <w:tcW w:type="dxa" w:w="3742"/>
          </w:tcPr>
          <w:p>
            <w:pPr>
              <w:spacing w:after="20"/>
            </w:pPr>
            <w:r>
              <w:rPr>
                <w:b w:val="0"/>
                <w:color w:val="111111"/>
                <w:sz w:val="20"/>
              </w:rPr>
              <w:t>Fall cleanup and leaf removal</w:t>
            </w:r>
          </w:p>
        </w:tc>
        <w:tc>
          <w:tcPr>
            <w:tcW w:type="dxa" w:w="2041"/>
          </w:tcPr>
          <w:p>
            <w:pPr>
              <w:spacing w:after="20"/>
            </w:pPr>
            <w:r>
              <w:rPr>
                <w:b w:val="0"/>
                <w:color w:val="111111"/>
                <w:sz w:val="20"/>
              </w:rPr>
              <w:t>Once, [late October]</w:t>
            </w:r>
          </w:p>
        </w:tc>
        <w:tc>
          <w:tcPr>
            <w:tcW w:type="dxa" w:w="1020"/>
          </w:tcPr>
          <w:p>
            <w:pPr>
              <w:spacing w:after="20"/>
              <w:jc w:val="right"/>
            </w:pPr>
            <w:r>
              <w:rPr>
                <w:b w:val="0"/>
                <w:color w:val="111111"/>
                <w:sz w:val="20"/>
              </w:rPr>
              <w:t>1</w:t>
            </w:r>
          </w:p>
        </w:tc>
        <w:tc>
          <w:tcPr>
            <w:tcW w:type="dxa" w:w="1474"/>
          </w:tcPr>
          <w:p>
            <w:pPr>
              <w:spacing w:after="20"/>
              <w:jc w:val="right"/>
            </w:pPr>
            <w:r>
              <w:rPr>
                <w:b w:val="0"/>
                <w:color w:val="111111"/>
                <w:sz w:val="20"/>
              </w:rPr>
              <w:t>300.00</w:t>
            </w:r>
          </w:p>
        </w:tc>
        <w:tc>
          <w:tcPr>
            <w:tcW w:type="dxa" w:w="1417"/>
          </w:tcPr>
          <w:p>
            <w:pPr>
              <w:spacing w:after="20"/>
              <w:jc w:val="right"/>
            </w:pPr>
            <w:r>
              <w:rPr>
                <w:b w:val="0"/>
                <w:color w:val="111111"/>
                <w:sz w:val="20"/>
              </w:rPr>
              <w:t>300.00</w:t>
            </w:r>
          </w:p>
        </w:tc>
      </w:tr>
      <w:tr>
        <w:tc>
          <w:tcPr>
            <w:tcW w:type="dxa" w:w="3742"/>
          </w:tcPr>
          <w:p>
            <w:pPr>
              <w:spacing w:after="20"/>
            </w:pPr>
            <w:r>
              <w:rPr>
                <w:b w:val="0"/>
                <w:color w:val="111111"/>
                <w:sz w:val="20"/>
              </w:rPr>
            </w:r>
          </w:p>
        </w:tc>
        <w:tc>
          <w:tcPr>
            <w:tcW w:type="dxa" w:w="2041"/>
          </w:tcPr>
          <w:p>
            <w:pPr>
              <w:spacing w:after="20"/>
            </w:pPr>
            <w:r>
              <w:rPr>
                <w:b w:val="0"/>
                <w:color w:val="111111"/>
                <w:sz w:val="20"/>
              </w:rPr>
            </w:r>
          </w:p>
        </w:tc>
        <w:tc>
          <w:tcPr>
            <w:tcW w:type="dxa" w:w="1020"/>
          </w:tcPr>
          <w:p>
            <w:pPr>
              <w:spacing w:after="20"/>
              <w:jc w:val="right"/>
            </w:pPr>
            <w:r>
              <w:rPr>
                <w:b w:val="0"/>
                <w:color w:val="111111"/>
                <w:sz w:val="20"/>
              </w:rPr>
            </w:r>
          </w:p>
        </w:tc>
        <w:tc>
          <w:tcPr>
            <w:tcW w:type="dxa" w:w="1474"/>
          </w:tcPr>
          <w:p>
            <w:pPr>
              <w:spacing w:after="20"/>
              <w:jc w:val="right"/>
            </w:pPr>
            <w:r>
              <w:rPr>
                <w:b w:val="0"/>
                <w:color w:val="111111"/>
                <w:sz w:val="20"/>
              </w:rPr>
            </w:r>
          </w:p>
        </w:tc>
        <w:tc>
          <w:tcPr>
            <w:tcW w:type="dxa" w:w="1417"/>
          </w:tcPr>
          <w:p>
            <w:pPr>
              <w:spacing w:after="20"/>
              <w:jc w:val="right"/>
            </w:pPr>
            <w:r>
              <w:rPr>
                <w:b w:val="0"/>
                <w:color w:val="111111"/>
                <w:sz w:val="20"/>
              </w:rPr>
            </w:r>
          </w:p>
        </w:tc>
      </w:tr>
      <w:tr>
        <w:tc>
          <w:tcPr>
            <w:tcW w:type="dxa" w:w="3742"/>
          </w:tcPr>
          <w:p>
            <w:pPr>
              <w:spacing w:after="20"/>
            </w:pPr>
            <w:r>
              <w:rPr>
                <w:b w:val="0"/>
                <w:color w:val="111111"/>
                <w:sz w:val="20"/>
              </w:rPr>
            </w:r>
          </w:p>
        </w:tc>
        <w:tc>
          <w:tcPr>
            <w:tcW w:type="dxa" w:w="2041"/>
          </w:tcPr>
          <w:p>
            <w:pPr>
              <w:spacing w:after="20"/>
            </w:pPr>
            <w:r>
              <w:rPr>
                <w:b w:val="0"/>
                <w:color w:val="111111"/>
                <w:sz w:val="20"/>
              </w:rPr>
            </w:r>
          </w:p>
        </w:tc>
        <w:tc>
          <w:tcPr>
            <w:tcW w:type="dxa" w:w="1020"/>
          </w:tcPr>
          <w:p>
            <w:pPr>
              <w:spacing w:after="20"/>
              <w:jc w:val="right"/>
            </w:pPr>
            <w:r>
              <w:rPr>
                <w:b w:val="0"/>
                <w:color w:val="111111"/>
                <w:sz w:val="20"/>
              </w:rPr>
            </w:r>
          </w:p>
        </w:tc>
        <w:tc>
          <w:tcPr>
            <w:tcW w:type="dxa" w:w="1474"/>
          </w:tcPr>
          <w:p>
            <w:pPr>
              <w:spacing w:after="20"/>
              <w:jc w:val="right"/>
            </w:pPr>
            <w:r>
              <w:rPr>
                <w:b w:val="0"/>
                <w:color w:val="111111"/>
                <w:sz w:val="20"/>
              </w:rPr>
            </w:r>
          </w:p>
        </w:tc>
        <w:tc>
          <w:tcPr>
            <w:tcW w:type="dxa" w:w="1417"/>
          </w:tcPr>
          <w:p>
            <w:pPr>
              <w:spacing w:after="20"/>
              <w:jc w:val="right"/>
            </w:pPr>
            <w:r>
              <w:rPr>
                <w:b w:val="0"/>
                <w:color w:val="111111"/>
                <w:sz w:val="20"/>
              </w:rPr>
            </w:r>
          </w:p>
        </w:tc>
      </w:tr>
    </w:tbl>
    <w:p/>
    <w:tbl>
      <w:tblPr>
        <w:tblLayout w:type="fixed"/>
        <w:tblLook w:firstColumn="1" w:firstRow="1" w:lastColumn="0" w:lastRow="0" w:noHBand="0" w:noVBand="1" w:val="04A0"/>
        <w:jc w:val="right"/>
        <w:tblBorders>
          <w:top w:val="nil"/>
          <w:left w:val="nil"/>
          <w:bottom w:val="nil"/>
          <w:right w:val="nil"/>
          <w:insideH w:val="nil"/>
          <w:insideV w:val="nil"/>
        </w:tblBorders>
        <w:tblLayout w:type="fixed"/>
        <w:tblW w:w="4875" w:type="dxa"/>
      </w:tblPr>
      <w:tblGrid>
        <w:gridCol w:w="2948"/>
        <w:gridCol w:w="1927"/>
      </w:tblGrid>
      <w:tr>
        <w:tc>
          <w:tcPr>
            <w:tcW w:type="dxa" w:w="2948"/>
          </w:tcPr>
          <w:p>
            <w:pPr>
              <w:spacing w:after="20"/>
            </w:pPr>
            <w:r>
              <w:rPr>
                <w:b w:val="0"/>
                <w:color w:val="666666"/>
                <w:sz w:val="20"/>
              </w:rPr>
              <w:t>Tax ([  ]%)</w:t>
            </w:r>
          </w:p>
        </w:tc>
        <w:tc>
          <w:tcPr>
            <w:tcW w:type="dxa" w:w="1928"/>
          </w:tcPr>
          <w:p>
            <w:pPr>
              <w:spacing w:after="20"/>
              <w:jc w:val="right"/>
            </w:pPr>
            <w:r>
              <w:rPr>
                <w:b w:val="0"/>
                <w:color w:val="111111"/>
                <w:sz w:val="20"/>
              </w:rPr>
              <w:t>0.00</w:t>
            </w:r>
          </w:p>
        </w:tc>
      </w:tr>
      <w:tr>
        <w:tc>
          <w:tcPr>
            <w:tcW w:type="dxa" w:w="2948"/>
            <w:shd w:val="clear" w:color="auto" w:fill="EEEEEE"/>
          </w:tcPr>
          <w:p>
            <w:pPr>
              <w:spacing w:after="20"/>
            </w:pPr>
            <w:r>
              <w:rPr>
                <w:b/>
                <w:color w:val="111111"/>
                <w:sz w:val="22"/>
              </w:rPr>
              <w:t>SEASON TOTAL</w:t>
            </w:r>
          </w:p>
        </w:tc>
        <w:tc>
          <w:tcPr>
            <w:tcW w:type="dxa" w:w="1928"/>
            <w:shd w:val="clear" w:color="auto" w:fill="EEEEEE"/>
          </w:tcPr>
          <w:p>
            <w:pPr>
              <w:spacing w:after="20"/>
              <w:jc w:val="right"/>
            </w:pPr>
            <w:r>
              <w:rPr>
                <w:b/>
                <w:color w:val="111111"/>
                <w:sz w:val="22"/>
              </w:rPr>
              <w:t>$2,070.00</w:t>
            </w:r>
          </w:p>
        </w:tc>
      </w:tr>
    </w:tbl>
    <w:p>
      <w:pPr>
        <w:spacing w:before="160" w:after="40"/>
      </w:pPr>
      <w:r>
        <w:rPr>
          <w:b/>
          <w:color w:val="666666"/>
          <w:sz w:val="16"/>
        </w:rPr>
        <w:t>4. PAYMENT</w:t>
      </w:r>
    </w:p>
    <w:p>
      <w:pPr>
        <w:spacing w:after="60"/>
      </w:pPr>
      <w:r>
        <w:rPr>
          <w:sz w:val="19"/>
        </w:rPr>
        <w:t>Choose one and delete the others: [ ] Each visit is invoiced after it is done.  [ ] The Season total is paid in [7] equal monthly payments of $[295.71], due on the 1st of each month from [April].  [ ] The Season total is paid in full before the first visit. Invoices are due within [15] days. We accept [card, bank transfer, cheque, cash]. [Late payment terms, if any and if allowed where you work.]</w:t>
      </w:r>
    </w:p>
    <w:p>
      <w:pPr>
        <w:spacing w:before="160" w:after="40"/>
      </w:pPr>
      <w:r>
        <w:rPr>
          <w:b/>
          <w:color w:val="666666"/>
          <w:sz w:val="16"/>
        </w:rPr>
        <w:t>5. SCHEDULE AND WEATHER</w:t>
      </w:r>
    </w:p>
    <w:p>
      <w:pPr>
        <w:spacing w:after="60"/>
      </w:pPr>
      <w:r>
        <w:rPr>
          <w:sz w:val="19"/>
        </w:rPr>
        <w:t>Visits are on a regular day where possible. Rain, drought or extreme heat can move a visit to the next suitable day. Mowing may be skipped when the grass is not growing. A listed visit that is skipped and not made up is not charged, or is credited on the last payment.</w:t>
      </w:r>
    </w:p>
    <w:p>
      <w:pPr>
        <w:spacing w:before="160" w:after="40"/>
      </w:pPr>
      <w:r>
        <w:rPr>
          <w:b/>
          <w:color w:val="666666"/>
          <w:sz w:val="16"/>
        </w:rPr>
        <w:t>6. EXTRA WORK</w:t>
      </w:r>
    </w:p>
    <w:p>
      <w:pPr>
        <w:spacing w:after="60"/>
      </w:pPr>
      <w:r>
        <w:rPr>
          <w:sz w:val="19"/>
        </w:rPr>
        <w:t>Work not listed in section 3, such as [tree work, sod, irrigation repair], is quoted separately and done only with the Customer’s written OK.</w:t>
      </w:r>
    </w:p>
    <w:p>
      <w:pPr>
        <w:spacing w:before="160" w:after="40"/>
      </w:pPr>
      <w:r>
        <w:rPr>
          <w:b/>
          <w:color w:val="666666"/>
          <w:sz w:val="16"/>
        </w:rPr>
        <w:t>7. ACCESS AND PROPERTY</w:t>
      </w:r>
    </w:p>
    <w:p>
      <w:pPr>
        <w:spacing w:after="60"/>
      </w:pPr>
      <w:r>
        <w:rPr>
          <w:sz w:val="19"/>
        </w:rPr>
        <w:t>The Customer gives access to the lawn on visit days, keeps pets secured, and marks hidden objects such as sprinkler heads, buried cables and invisible fences. The Customer reports any damage within [7] days so the Provider can look at it.</w:t>
      </w:r>
    </w:p>
    <w:p>
      <w:pPr>
        <w:spacing w:before="160" w:after="40"/>
      </w:pPr>
      <w:r>
        <w:rPr>
          <w:b/>
          <w:color w:val="666666"/>
          <w:sz w:val="16"/>
        </w:rPr>
        <w:t>8. FERTILIZER AND OTHER PRODUCTS</w:t>
      </w:r>
    </w:p>
    <w:p>
      <w:pPr>
        <w:spacing w:after="60"/>
      </w:pPr>
      <w:r>
        <w:rPr>
          <w:sz w:val="19"/>
        </w:rPr>
        <w:t>Products are applied following the label and the rules where the property is. The Provider tells the Customer before each application and how long to keep people and pets off the lawn. [Delete this section if you do not apply products.]</w:t>
      </w:r>
    </w:p>
    <w:p>
      <w:pPr>
        <w:spacing w:before="160" w:after="40"/>
      </w:pPr>
      <w:r>
        <w:rPr>
          <w:b/>
          <w:color w:val="666666"/>
          <w:sz w:val="16"/>
        </w:rPr>
        <w:t>9. INSURANCE</w:t>
      </w:r>
    </w:p>
    <w:p>
      <w:pPr>
        <w:spacing w:after="60"/>
      </w:pPr>
      <w:r>
        <w:rPr>
          <w:sz w:val="19"/>
        </w:rPr>
        <w:t>The Provider carries [general liability] insurance. [Add details or delete.]</w:t>
      </w:r>
    </w:p>
    <w:p>
      <w:pPr>
        <w:spacing w:before="160" w:after="40"/>
      </w:pPr>
      <w:r>
        <w:rPr>
          <w:b/>
          <w:color w:val="666666"/>
          <w:sz w:val="16"/>
        </w:rPr>
        <w:t>10. CANCELLATION</w:t>
      </w:r>
    </w:p>
    <w:p>
      <w:pPr>
        <w:spacing w:after="60"/>
      </w:pPr>
      <w:r>
        <w:rPr>
          <w:sz w:val="19"/>
        </w:rPr>
        <w:t>Either party may end this agreement with [14] days’ written notice (email counts). The Customer pays for visits done up to the end date, and any amount paid for visits not done is refunded.</w:t>
      </w:r>
    </w:p>
    <w:p>
      <w:pPr>
        <w:spacing w:before="160" w:after="40"/>
      </w:pPr>
      <w:r>
        <w:rPr>
          <w:b/>
          <w:color w:val="666666"/>
          <w:sz w:val="16"/>
        </w:rPr>
        <w:t>11. RENEWAL</w:t>
      </w:r>
    </w:p>
    <w:p>
      <w:pPr>
        <w:spacing w:after="60"/>
      </w:pPr>
      <w:r>
        <w:rPr>
          <w:sz w:val="19"/>
        </w:rPr>
        <w:t>This agreement ends on the Season end date and does not renew automatically. [Or describe how it renews.]</w:t>
      </w:r>
    </w:p>
    <w:p>
      <w:pPr>
        <w:spacing w:before="160" w:after="40"/>
      </w:pPr>
      <w:r>
        <w:rPr>
          <w:b/>
          <w:color w:val="666666"/>
          <w:sz w:val="16"/>
        </w:rPr>
        <w:t>12. WHOLE AGREEMENT</w:t>
      </w:r>
    </w:p>
    <w:p>
      <w:pPr>
        <w:spacing w:after="60"/>
      </w:pPr>
      <w:r>
        <w:rPr>
          <w:sz w:val="19"/>
        </w:rPr>
        <w:t>This document is the whole agreement. Changes must be in writing and accepted by both parties.</w:t>
      </w:r>
    </w:p>
    <w:p>
      <w:pPr>
        <w:spacing w:before="160" w:after="40"/>
      </w:pPr>
      <w:r>
        <w:rPr>
          <w:b/>
          <w:color w:val="666666"/>
          <w:sz w:val="16"/>
        </w:rPr>
        <w:t>13. OTHER TERMS</w:t>
      </w:r>
    </w:p>
    <w:p>
      <w:pPr>
        <w:spacing w:after="60"/>
      </w:pPr>
      <w:r>
        <w:rPr>
          <w:sz w:val="19"/>
        </w:rPr>
        <w:t>[Anything else, or delete.]</w:t>
      </w:r>
    </w:p>
    <w:p/>
    <w:tbl>
      <w:tblPr>
        <w:tblW w:type="auto" w:w="0"/>
        <w:tblLook w:firstColumn="1" w:firstRow="1" w:lastColumn="0" w:lastRow="0" w:noHBand="0" w:noVBand="1" w:val="04A0"/>
        <w:tblBorders>
          <w:top w:val="nil"/>
          <w:left w:val="nil"/>
          <w:bottom w:val="nil"/>
          <w:right w:val="nil"/>
          <w:insideH w:val="nil"/>
          <w:insideV w:val="nil"/>
        </w:tblBorders>
      </w:tblPr>
      <w:tblGrid>
        <w:gridCol w:w="2493"/>
        <w:gridCol w:w="2493"/>
        <w:gridCol w:w="2493"/>
        <w:gridCol w:w="2493"/>
      </w:tblGrid>
      <w:tr>
        <w:tc>
          <w:tcPr>
            <w:tcW w:type="dxa" w:w="2493"/>
          </w:tcPr>
          <w:p>
            <w:pPr>
              <w:spacing w:after="20"/>
            </w:pPr>
            <w:r>
              <w:rPr>
                <w:b w:val="0"/>
                <w:color w:val="111111"/>
                <w:sz w:val="20"/>
              </w:rPr>
              <w:t>_______________</w:t>
            </w:r>
          </w:p>
        </w:tc>
        <w:tc>
          <w:tcPr>
            <w:tcW w:type="dxa" w:w="2493"/>
          </w:tcPr>
          <w:p>
            <w:pPr>
              <w:spacing w:after="20"/>
            </w:pPr>
            <w:r>
              <w:rPr>
                <w:b w:val="0"/>
                <w:color w:val="111111"/>
                <w:sz w:val="20"/>
              </w:rPr>
              <w:t>_______________</w:t>
            </w:r>
          </w:p>
        </w:tc>
        <w:tc>
          <w:tcPr>
            <w:tcW w:type="dxa" w:w="2493"/>
          </w:tcPr>
          <w:p>
            <w:pPr>
              <w:spacing w:after="20"/>
            </w:pPr>
            <w:r>
              <w:rPr>
                <w:b w:val="0"/>
                <w:color w:val="111111"/>
                <w:sz w:val="20"/>
              </w:rPr>
              <w:t>_______________</w:t>
            </w:r>
          </w:p>
        </w:tc>
        <w:tc>
          <w:tcPr>
            <w:tcW w:type="dxa" w:w="2493"/>
          </w:tcPr>
          <w:p>
            <w:pPr>
              <w:spacing w:after="20"/>
            </w:pPr>
            <w:r>
              <w:rPr>
                <w:b w:val="0"/>
                <w:color w:val="111111"/>
                <w:sz w:val="20"/>
              </w:rPr>
              <w:t>_______________</w:t>
            </w:r>
          </w:p>
        </w:tc>
      </w:tr>
      <w:tr>
        <w:tc>
          <w:tcPr>
            <w:tcW w:type="dxa" w:w="2493"/>
          </w:tcPr>
          <w:p>
            <w:pPr>
              <w:spacing w:after="20"/>
            </w:pPr>
            <w:r>
              <w:rPr>
                <w:b w:val="0"/>
                <w:color w:val="666666"/>
                <w:sz w:val="16"/>
              </w:rPr>
              <w:t>Provider signature</w:t>
            </w:r>
          </w:p>
        </w:tc>
        <w:tc>
          <w:tcPr>
            <w:tcW w:type="dxa" w:w="2493"/>
          </w:tcPr>
          <w:p>
            <w:pPr>
              <w:spacing w:after="20"/>
            </w:pPr>
            <w:r>
              <w:rPr>
                <w:b w:val="0"/>
                <w:color w:val="666666"/>
                <w:sz w:val="16"/>
              </w:rPr>
              <w:t>Date</w:t>
            </w:r>
          </w:p>
        </w:tc>
        <w:tc>
          <w:tcPr>
            <w:tcW w:type="dxa" w:w="2493"/>
          </w:tcPr>
          <w:p>
            <w:pPr>
              <w:spacing w:after="20"/>
            </w:pPr>
            <w:r>
              <w:rPr>
                <w:b w:val="0"/>
                <w:color w:val="666666"/>
                <w:sz w:val="16"/>
              </w:rPr>
              <w:t>Customer signature</w:t>
            </w:r>
          </w:p>
        </w:tc>
        <w:tc>
          <w:tcPr>
            <w:tcW w:type="dxa" w:w="2493"/>
          </w:tcPr>
          <w:p>
            <w:pPr>
              <w:spacing w:after="20"/>
            </w:pPr>
            <w:r>
              <w:rPr>
                <w:b w:val="0"/>
                <w:color w:val="666666"/>
                <w:sz w:val="16"/>
              </w:rPr>
              <w:t>Date</w:t>
            </w:r>
          </w:p>
        </w:tc>
      </w:tr>
    </w:tbl>
    <w:tbl>
      <w:tblPr>
        <w:tblW w:type="auto" w:w="0"/>
        <w:tblLook w:firstColumn="1" w:firstRow="1" w:lastColumn="0" w:lastRow="0" w:noHBand="0" w:noVBand="1" w:val="04A0"/>
        <w:tblBorders>
          <w:top w:val="nil"/>
          <w:left w:val="nil"/>
          <w:bottom w:val="nil"/>
          <w:right w:val="nil"/>
          <w:insideH w:val="nil"/>
          <w:insideV w:val="nil"/>
        </w:tblBorders>
      </w:tblPr>
      <w:tblGrid>
        <w:gridCol w:w="4986"/>
        <w:gridCol w:w="4986"/>
      </w:tblGrid>
      <w:tr>
        <w:tc>
          <w:tcPr>
            <w:tcW w:type="dxa" w:w="4986"/>
          </w:tcPr>
          <w:p>
            <w:pPr>
              <w:spacing w:after="20"/>
            </w:pPr>
            <w:r>
              <w:rPr>
                <w:b w:val="0"/>
                <w:color w:val="666666"/>
                <w:sz w:val="18"/>
              </w:rPr>
              <w:t>Provider name: [  ]</w:t>
            </w:r>
          </w:p>
        </w:tc>
        <w:tc>
          <w:tcPr>
            <w:tcW w:type="dxa" w:w="4986"/>
          </w:tcPr>
          <w:p>
            <w:pPr>
              <w:spacing w:after="20"/>
            </w:pPr>
            <w:r>
              <w:rPr>
                <w:b w:val="0"/>
                <w:color w:val="666666"/>
                <w:sz w:val="18"/>
              </w:rPr>
              <w:t>Customer name: [  ]</w:t>
            </w:r>
          </w:p>
        </w:tc>
      </w:tr>
    </w:tbl>
    <w:p>
      <w:pPr>
        <w:jc w:val="center"/>
      </w:pPr>
      <w:r>
        <w:rPr>
          <w:color w:val="666666"/>
          <w:sz w:val="15"/>
        </w:rPr>
        <w:t>Free template from brickbyclick.ai. Replace every [bracketed] field, then delete this line before sending.</w:t>
      </w:r>
    </w:p>
    <w:sectPr w:rsidR="00FC693F" w:rsidRPr="0006063C" w:rsidSect="00034616">
      <w:pgSz w:w="12240" w:h="15840"/>
      <w:pgMar w:top="737" w:right="1134" w:bottom="73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1111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Lawn care contract template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